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2"/>
        </w:rPr>
        <w:t>RECURSO DE HETEROIDENTIFICAÇÃO</w:t>
      </w:r>
    </w:p>
    <w:p/>
    <w:p/>
    <w:p>
      <w:pPr>
        <w:jc w:val="center"/>
      </w:pPr>
      <w:r>
        <w:rPr>
          <w:b w:val="0"/>
          <w:i w:val="0"/>
          <w:sz w:val="22"/>
        </w:rPr>
        <w:t>EXCELENTÍSSIMO(A) SENHOR(A) PRESIDENTE DA COMISSÃO DE HETEROIDENTIFICAÇÃO</w:t>
      </w:r>
    </w:p>
    <w:p/>
    <w:p/>
    <w:p>
      <w:r>
        <w:rPr>
          <w:b/>
          <w:i w:val="0"/>
          <w:sz w:val="22"/>
        </w:rPr>
        <w:t>RECORRENTE:</w:t>
      </w:r>
    </w:p>
    <w:p>
      <w:r>
        <w:rPr>
          <w:b w:val="0"/>
          <w:i w:val="0"/>
          <w:sz w:val="22"/>
        </w:rPr>
        <w:t>Nome: ________________________________________________________________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_____________________________________________________________</w:t>
      </w:r>
    </w:p>
    <w:p>
      <w:r>
        <w:rPr>
          <w:b w:val="0"/>
          <w:i w:val="0"/>
          <w:sz w:val="22"/>
        </w:rPr>
        <w:t>Documento de Identidade (RG): __________________________________________</w:t>
      </w:r>
    </w:p>
    <w:p>
      <w:r>
        <w:rPr>
          <w:b w:val="0"/>
          <w:i w:val="0"/>
          <w:sz w:val="22"/>
        </w:rPr>
        <w:t>CPF: _________________________________________________________________</w:t>
      </w:r>
    </w:p>
    <w:p>
      <w:r>
        <w:rPr>
          <w:b w:val="0"/>
          <w:i w:val="0"/>
          <w:sz w:val="22"/>
        </w:rPr>
        <w:t>Data de Nascimento: _________________________________________________</w:t>
      </w:r>
    </w:p>
    <w:p>
      <w:r>
        <w:rPr>
          <w:b w:val="0"/>
          <w:i w:val="0"/>
          <w:sz w:val="22"/>
        </w:rPr>
        <w:t>Endereço Completo: ____________________________________________________</w:t>
      </w:r>
    </w:p>
    <w:p>
      <w:r>
        <w:rPr>
          <w:b w:val="0"/>
          <w:i w:val="0"/>
          <w:sz w:val="22"/>
        </w:rPr>
        <w:t>Telefone: _____________________________________________________________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_______________________________________________________________</w:t>
      </w:r>
    </w:p>
    <w:p/>
    <w:p>
      <w:r>
        <w:rPr>
          <w:b/>
          <w:i w:val="0"/>
          <w:sz w:val="22"/>
        </w:rPr>
        <w:t>RECORRIDO:</w:t>
      </w:r>
    </w:p>
    <w:p>
      <w:r>
        <w:rPr>
          <w:b w:val="0"/>
          <w:i w:val="0"/>
          <w:sz w:val="22"/>
        </w:rPr>
        <w:t>Decisão/Atos impugnados: _______________________________________________</w:t>
      </w:r>
    </w:p>
    <w:p>
      <w:r>
        <w:rPr>
          <w:b w:val="0"/>
          <w:i w:val="0"/>
          <w:sz w:val="22"/>
        </w:rPr>
        <w:t>Número do Processo/Inscrição: __________________________________________</w:t>
      </w:r>
    </w:p>
    <w:p/>
    <w:p>
      <w:r>
        <w:rPr>
          <w:b/>
          <w:i w:val="0"/>
          <w:sz w:val="22"/>
        </w:rPr>
        <w:t>I – DOS FATOS</w:t>
      </w:r>
    </w:p>
    <w:p/>
    <w:p>
      <w:r>
        <w:rPr>
          <w:b w:val="0"/>
          <w:i w:val="0"/>
          <w:sz w:val="22"/>
        </w:rPr>
        <w:t>O Recorrente apresentou requerimento para reconhecimento da autodeclaração de raça/cor perante a Comissão de Heteroidentificação, porém a decisão proferida pela Comissão foi contrária ao seu pleito, o que motivou a interposição do presente recurso.</w:t>
      </w:r>
    </w:p>
    <w:p>
      <w:r>
        <w:rPr>
          <w:b w:val="0"/>
          <w:i w:val="0"/>
          <w:sz w:val="22"/>
        </w:rPr>
        <w:t>O Recorrente destaca que possui características fenotípicas compatíveis com o grupo étnico-racial declarado, e que a decisão da Comissão não considerou adequadamente tais aspectos, contrariando o princípio da dignidade da pessoa humana e os direitos fundamentais assegurados pela Constituição Federal.</w:t>
      </w:r>
    </w:p>
    <w:p/>
    <w:p>
      <w:r>
        <w:rPr>
          <w:b/>
          <w:i w:val="0"/>
          <w:sz w:val="22"/>
        </w:rPr>
        <w:t>II – DOS FUNDAMENTOS JURÍDICOS</w:t>
      </w:r>
    </w:p>
    <w:p/>
    <w:p>
      <w:r>
        <w:rPr>
          <w:b w:val="0"/>
          <w:i w:val="0"/>
          <w:sz w:val="22"/>
        </w:rPr>
        <w:t>O presente recurso encontra respaldo nos princípios constitucionais da igualdade (art. 5º, caput, da CF), da dignidade da pessoa humana (art. 1º, III, da CF) e da não discriminação racial (art. 3º, IV, da CF).</w:t>
      </w:r>
    </w:p>
    <w:p>
      <w:r>
        <w:rPr>
          <w:b w:val="0"/>
          <w:i w:val="0"/>
          <w:sz w:val="22"/>
        </w:rPr>
        <w:t>Além disso, a Lei nº 12.990/2014, que dispõe sobre a reserva de vagas para negros em concursos públicos, reforça a importância do reconhecimento correto da autodeclaração racial, com a possibilidade de heteroidentificação para evitar fraudes, sem prejuízo ao direito do indivíduo.</w:t>
      </w:r>
    </w:p>
    <w:p>
      <w:r>
        <w:rPr>
          <w:b w:val="0"/>
          <w:i w:val="0"/>
          <w:sz w:val="22"/>
        </w:rPr>
        <w:t>A Resolução nº 02/2018 do Conselho Nacional de Promoção da Igualdade Racial (CNPIR) estabelece as diretrizes para a realização da heteroidentificação, que deve ser pautada em critérios objetivos e técnicos, respeitando a identidade e a autoidentificação do candidato.</w:t>
      </w:r>
    </w:p>
    <w:p>
      <w:r>
        <w:rPr>
          <w:b w:val="0"/>
          <w:i w:val="0"/>
          <w:sz w:val="22"/>
        </w:rPr>
        <w:t>Portanto, a decisão que negou o reconhecimento da autodeclaração do Recorrente carece de fundamentação suficiente, violando o direito à igualdade e à inclusão social.</w:t>
      </w:r>
    </w:p>
    <w:p/>
    <w:p>
      <w:r>
        <w:rPr>
          <w:b/>
          <w:i w:val="0"/>
          <w:sz w:val="22"/>
        </w:rPr>
        <w:t>III – DO PEDIDO</w:t>
      </w:r>
    </w:p>
    <w:p/>
    <w:p>
      <w:r>
        <w:rPr>
          <w:b w:val="0"/>
          <w:i w:val="0"/>
          <w:sz w:val="22"/>
        </w:rPr>
        <w:t>Diante do exposto, requer-se:</w:t>
      </w:r>
    </w:p>
    <w:p>
      <w:r>
        <w:rPr>
          <w:b w:val="0"/>
          <w:i w:val="0"/>
          <w:sz w:val="22"/>
        </w:rPr>
        <w:t>1. O recebimento e o provimento do presente recurso de heteroidentificação, com a alteração da decisão da Comissão de Heteroidentificação, reconhecendo a autodeclaração racial do Recorrente.</w:t>
      </w:r>
    </w:p>
    <w:p>
      <w:r>
        <w:rPr>
          <w:b w:val="0"/>
          <w:i w:val="0"/>
          <w:sz w:val="22"/>
        </w:rPr>
        <w:t>2. A restituição dos direitos e benefícios decorrentes do reconhecimento racial, incluindo eventual classificação ou aprovação em processos seletivos ou concursos públicos.</w:t>
      </w:r>
    </w:p>
    <w:p>
      <w:r>
        <w:rPr>
          <w:b w:val="0"/>
          <w:i w:val="0"/>
          <w:sz w:val="22"/>
        </w:rPr>
        <w:t>3. A intimação da Comissão de Heteroidentificação para ciência e manifestação acerca do presente recurso.</w:t>
      </w:r>
    </w:p>
    <w:p>
      <w:r>
        <w:rPr>
          <w:b w:val="0"/>
          <w:i w:val="0"/>
          <w:sz w:val="22"/>
        </w:rPr>
        <w:t>4. A produção de provas, caso necessário, inclusive pericial e testemunhal, para comprovação das características fenotípicas do Recorrente.</w:t>
      </w:r>
    </w:p>
    <w:p>
      <w:r>
        <w:rPr>
          <w:b w:val="0"/>
          <w:i w:val="0"/>
          <w:sz w:val="22"/>
        </w:rPr>
        <w:t>5. A concessão de qualquer outra medida que se mostre necessária para a efetividade do direito do Recorrente.</w:t>
      </w:r>
    </w:p>
    <w:p/>
    <w:p/>
    <w:p>
      <w:pPr>
        <w:jc w:val="center"/>
      </w:pPr>
      <w:r>
        <w:rPr>
          <w:b w:val="0"/>
          <w:i w:val="0"/>
          <w:sz w:val="22"/>
        </w:rPr>
        <w:t>______________________________________________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Recorrente ou Representante Legal</w:t>
      </w:r>
    </w:p>
    <w:p/>
    <w:p/>
    <w:p>
      <w:pPr>
        <w:jc w:val="center"/>
      </w:pPr>
      <w:r>
        <w:rPr>
          <w:b w:val="0"/>
          <w:i w:val="0"/>
          <w:sz w:val="22"/>
        </w:rPr>
        <w:t>______________________________________________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Advogado(a) – OAB/UF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https://modelos-br.com/recurso-heteroidentificacao/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recurso-heteroidentificacao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